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5D" w:rsidRPr="007B6CF4" w:rsidRDefault="00C8575D" w:rsidP="00C8575D">
      <w:pPr>
        <w:pStyle w:val="Heading1"/>
        <w:rPr>
          <w:rFonts w:ascii="Times New Roman" w:hAnsi="Times New Roman" w:cs="Times New Roman"/>
          <w:color w:val="000000" w:themeColor="text1"/>
        </w:rPr>
      </w:pPr>
      <w:bookmarkStart w:id="0" w:name="_Hlk127178681"/>
    </w:p>
    <w:p w:rsidR="00C8575D" w:rsidRPr="007B6CF4" w:rsidRDefault="00C8575D" w:rsidP="00C8575D">
      <w:pPr>
        <w:pStyle w:val="1"/>
        <w:spacing w:line="240" w:lineRule="auto"/>
        <w:jc w:val="center"/>
        <w:rPr>
          <w:rFonts w:ascii="Times New Roman" w:eastAsia="+mj-ea" w:hAnsi="Times New Roman"/>
          <w:b/>
          <w:bCs/>
          <w:color w:val="FFFFFF"/>
          <w:sz w:val="36"/>
          <w:szCs w:val="36"/>
        </w:rPr>
      </w:pPr>
      <w:bookmarkStart w:id="1" w:name="_Toc130206569"/>
      <w:bookmarkStart w:id="2" w:name="_Toc130206714"/>
      <w:r w:rsidRPr="007B6CF4">
        <w:rPr>
          <w:rFonts w:ascii="Times New Roman" w:eastAsia="Calibri" w:hAnsi="Times New Roman"/>
          <w:sz w:val="36"/>
          <w:szCs w:val="36"/>
        </w:rPr>
        <w:t xml:space="preserve">ERASMUS+ project </w:t>
      </w:r>
      <w:r w:rsidRPr="007B6CF4">
        <w:rPr>
          <w:rFonts w:ascii="Times New Roman" w:eastAsia="Calibri" w:hAnsi="Times New Roman"/>
          <w:b/>
          <w:bCs/>
          <w:sz w:val="36"/>
          <w:szCs w:val="36"/>
        </w:rPr>
        <w:t>“</w:t>
      </w:r>
      <w:r w:rsidRPr="007B6CF4">
        <w:rPr>
          <w:rFonts w:ascii="Times New Roman" w:eastAsia="Calibri" w:hAnsi="Times New Roman"/>
          <w:b/>
          <w:sz w:val="36"/>
          <w:szCs w:val="36"/>
        </w:rPr>
        <w:t>Transformative Digital Pedagogies for Higher Education</w:t>
      </w:r>
      <w:r w:rsidRPr="007B6CF4">
        <w:rPr>
          <w:rFonts w:ascii="Times New Roman" w:eastAsia="Calibri" w:hAnsi="Times New Roman"/>
          <w:b/>
          <w:bCs/>
          <w:sz w:val="36"/>
          <w:szCs w:val="36"/>
        </w:rPr>
        <w:t xml:space="preserve">” </w:t>
      </w:r>
      <w:r w:rsidRPr="007B6CF4">
        <w:rPr>
          <w:rFonts w:ascii="Times New Roman" w:eastAsia="Calibri" w:hAnsi="Times New Roman"/>
          <w:b/>
          <w:bCs/>
          <w:sz w:val="36"/>
          <w:szCs w:val="36"/>
        </w:rPr>
        <w:br/>
        <w:t>contract Nr</w:t>
      </w:r>
      <w:r w:rsidRPr="007B6CF4">
        <w:rPr>
          <w:rFonts w:ascii="Times New Roman" w:eastAsia="Calibri" w:hAnsi="Times New Roman"/>
          <w:sz w:val="36"/>
          <w:szCs w:val="36"/>
        </w:rPr>
        <w:t xml:space="preserve">. </w:t>
      </w:r>
      <w:r w:rsidRPr="007B6CF4">
        <w:rPr>
          <w:rFonts w:ascii="Times New Roman" w:eastAsia="Calibri" w:hAnsi="Times New Roman"/>
          <w:b/>
          <w:bCs/>
          <w:sz w:val="36"/>
          <w:szCs w:val="36"/>
        </w:rPr>
        <w:t>2022-1-LV01-KA220-HED-000085277</w:t>
      </w:r>
      <w:r w:rsidRPr="007B6CF4">
        <w:rPr>
          <w:rFonts w:ascii="Times New Roman" w:eastAsia="Calibri" w:hAnsi="Times New Roman"/>
          <w:sz w:val="36"/>
          <w:szCs w:val="36"/>
        </w:rPr>
        <w:t xml:space="preserve"> </w:t>
      </w:r>
      <w:r w:rsidRPr="007B6CF4">
        <w:rPr>
          <w:rFonts w:ascii="Times New Roman" w:eastAsia="+mj-ea" w:hAnsi="Times New Roman"/>
          <w:b/>
          <w:bCs/>
          <w:color w:val="FFFFFF"/>
          <w:sz w:val="36"/>
          <w:szCs w:val="36"/>
        </w:rPr>
        <w:t>t</w:t>
      </w:r>
    </w:p>
    <w:p w:rsidR="00C8575D" w:rsidRPr="007B6CF4" w:rsidRDefault="00C8575D" w:rsidP="00C8575D">
      <w:pPr>
        <w:pStyle w:val="1"/>
        <w:spacing w:line="360" w:lineRule="auto"/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</w:p>
    <w:p w:rsidR="00C8575D" w:rsidRPr="007B6CF4" w:rsidRDefault="00C8575D" w:rsidP="00C8575D">
      <w:pPr>
        <w:pStyle w:val="1"/>
        <w:spacing w:line="36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7B6CF4">
        <w:rPr>
          <w:rFonts w:ascii="Times New Roman" w:eastAsia="Calibri" w:hAnsi="Times New Roman"/>
          <w:b/>
          <w:sz w:val="36"/>
          <w:szCs w:val="36"/>
        </w:rPr>
        <w:t>REPORT</w:t>
      </w:r>
    </w:p>
    <w:p w:rsidR="00C8575D" w:rsidRPr="007B6CF4" w:rsidRDefault="00C8575D" w:rsidP="00C8575D">
      <w:pPr>
        <w:pStyle w:val="1"/>
        <w:spacing w:line="360" w:lineRule="auto"/>
        <w:jc w:val="center"/>
        <w:rPr>
          <w:rFonts w:ascii="Times New Roman" w:eastAsia="DengXian" w:hAnsi="Times New Roman"/>
          <w:b/>
          <w:color w:val="000000"/>
          <w:sz w:val="36"/>
          <w:szCs w:val="36"/>
        </w:rPr>
      </w:pPr>
      <w:r w:rsidRPr="007B6CF4">
        <w:rPr>
          <w:rFonts w:ascii="Times New Roman" w:eastAsia="Calibri" w:hAnsi="Times New Roman"/>
          <w:b/>
          <w:sz w:val="36"/>
          <w:szCs w:val="36"/>
        </w:rPr>
        <w:t xml:space="preserve">WP2: </w:t>
      </w:r>
      <w:r w:rsidRPr="007B6CF4">
        <w:rPr>
          <w:rFonts w:ascii="Times New Roman" w:eastAsia="DengXian" w:hAnsi="Times New Roman"/>
          <w:b/>
          <w:color w:val="000000"/>
          <w:sz w:val="36"/>
          <w:szCs w:val="36"/>
        </w:rPr>
        <w:t>Theoretical and empirical framework of transformative digital pedagogical competences</w:t>
      </w:r>
    </w:p>
    <w:p w:rsidR="00C8575D" w:rsidRDefault="00C8575D" w:rsidP="00C8575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8575D" w:rsidRPr="00C8575D" w:rsidRDefault="00C8575D" w:rsidP="00C8575D">
      <w:pPr>
        <w:jc w:val="center"/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</w:pPr>
      <w:r w:rsidRPr="007B6CF4">
        <w:rPr>
          <w:rFonts w:ascii="Times New Roman" w:eastAsia="Calibri" w:hAnsi="Times New Roman" w:cs="Times New Roman"/>
          <w:b/>
          <w:sz w:val="36"/>
          <w:szCs w:val="36"/>
        </w:rPr>
        <w:t>WP2.</w:t>
      </w: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7B6CF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857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>Presenting TDP4HE self-assessment framework: Hybrid event (E1) (Riga)</w:t>
      </w:r>
    </w:p>
    <w:p w:rsidR="00C8575D" w:rsidRDefault="00C8575D" w:rsidP="00C857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75D" w:rsidRPr="007B6CF4" w:rsidRDefault="00C8575D" w:rsidP="00C8575D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:rsidR="00C8575D" w:rsidRPr="007B6CF4" w:rsidRDefault="00C8575D" w:rsidP="00C8575D">
      <w:pPr>
        <w:pStyle w:val="1"/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B6CF4">
        <w:rPr>
          <w:rFonts w:ascii="Times New Roman" w:eastAsia="Calibri" w:hAnsi="Times New Roman"/>
          <w:b/>
          <w:bCs/>
          <w:sz w:val="28"/>
          <w:szCs w:val="28"/>
        </w:rPr>
        <w:t xml:space="preserve">Coordinator: </w:t>
      </w:r>
      <w:r w:rsidRPr="007B6CF4">
        <w:rPr>
          <w:rFonts w:ascii="Times New Roman" w:eastAsia="Calibri" w:hAnsi="Times New Roman"/>
          <w:bCs/>
          <w:sz w:val="28"/>
          <w:szCs w:val="28"/>
        </w:rPr>
        <w:t>RTU, Latvia</w:t>
      </w:r>
    </w:p>
    <w:p w:rsidR="00C8575D" w:rsidRPr="007B6CF4" w:rsidRDefault="00C8575D" w:rsidP="00C8575D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B6CF4">
        <w:rPr>
          <w:rFonts w:ascii="Times New Roman" w:eastAsia="Calibri" w:hAnsi="Times New Roman"/>
          <w:b/>
          <w:bCs/>
          <w:sz w:val="28"/>
          <w:szCs w:val="28"/>
        </w:rPr>
        <w:t>Author of report:</w:t>
      </w:r>
      <w:r w:rsidRPr="007B6CF4">
        <w:rPr>
          <w:rFonts w:ascii="Times New Roman" w:hAnsi="Times New Roman"/>
          <w:color w:val="000000" w:themeColor="text1"/>
        </w:rPr>
        <w:t xml:space="preserve"> Olga Vindača</w:t>
      </w:r>
      <w:bookmarkEnd w:id="1"/>
      <w:bookmarkEnd w:id="2"/>
    </w:p>
    <w:p w:rsidR="00C8575D" w:rsidRPr="007B6CF4" w:rsidRDefault="00C8575D" w:rsidP="00C8575D">
      <w:pPr>
        <w:rPr>
          <w:rFonts w:ascii="Times New Roman" w:hAnsi="Times New Roman" w:cs="Times New Roman"/>
          <w:color w:val="000000" w:themeColor="text1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February 2024</w:t>
      </w:r>
    </w:p>
    <w:bookmarkEnd w:id="0"/>
    <w:p w:rsidR="00C8575D" w:rsidRPr="007B6CF4" w:rsidRDefault="00C8575D" w:rsidP="00C857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4">
        <w:rPr>
          <w:rFonts w:ascii="Times New Roman" w:hAnsi="Times New Roman" w:cs="Times New Roman"/>
        </w:rPr>
        <w:br w:type="page"/>
      </w:r>
      <w:r w:rsidRPr="007B6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TABLE OF CONTENTS</w:t>
      </w:r>
    </w:p>
    <w:p w:rsidR="00C8575D" w:rsidRPr="007B6CF4" w:rsidRDefault="00C8575D" w:rsidP="00C8575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16"/>
      </w:tblGrid>
      <w:tr w:rsidR="00C8575D" w:rsidRPr="007B6CF4" w:rsidTr="00C8575D">
        <w:tc>
          <w:tcPr>
            <w:tcW w:w="8500" w:type="dxa"/>
            <w:shd w:val="clear" w:color="auto" w:fill="auto"/>
          </w:tcPr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Introduction ……………………………………………………………….</w:t>
            </w: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Description of Hybrid Event ……………………………………………...</w:t>
            </w:r>
          </w:p>
          <w:p w:rsidR="00F766E1" w:rsidRDefault="00F766E1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66E1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Appendix 1 – </w:t>
            </w:r>
            <w:r w:rsidR="00F76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Event Agenda</w:t>
            </w:r>
          </w:p>
          <w:p w:rsidR="00F766E1" w:rsidRDefault="00F766E1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F766E1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Appendix 2 - </w:t>
            </w:r>
            <w:r w:rsidR="00C85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Final Framework </w:t>
            </w: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Appendix </w:t>
            </w:r>
            <w:r w:rsidR="00F76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List of Participants</w:t>
            </w: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F766E1" w:rsidRDefault="00F766E1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575D" w:rsidRPr="007B6CF4" w:rsidTr="00C8575D">
        <w:tc>
          <w:tcPr>
            <w:tcW w:w="8500" w:type="dxa"/>
          </w:tcPr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dxa"/>
          </w:tcPr>
          <w:p w:rsidR="00C8575D" w:rsidRPr="007B6CF4" w:rsidRDefault="00C8575D" w:rsidP="00C8575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575D" w:rsidRPr="007B6CF4" w:rsidRDefault="00C8575D" w:rsidP="00C8575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575D" w:rsidRPr="007B6CF4" w:rsidRDefault="00C8575D" w:rsidP="00C8575D">
      <w:pPr>
        <w:rPr>
          <w:rFonts w:ascii="Times New Roman" w:hAnsi="Times New Roman" w:cs="Times New Roman"/>
        </w:rPr>
      </w:pPr>
    </w:p>
    <w:p w:rsidR="00C8575D" w:rsidRPr="007B6CF4" w:rsidRDefault="00C8575D" w:rsidP="00C857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B337E" w:rsidRDefault="007B337E" w:rsidP="00C857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575D" w:rsidRPr="007B6CF4" w:rsidRDefault="00C8575D" w:rsidP="00C857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INTRODUCTION</w:t>
      </w:r>
    </w:p>
    <w:p w:rsidR="00C8575D" w:rsidRPr="007B6CF4" w:rsidRDefault="00C8575D" w:rsidP="00C8575D">
      <w:pPr>
        <w:spacing w:after="0" w:line="360" w:lineRule="auto"/>
        <w:ind w:firstLine="567"/>
        <w:jc w:val="both"/>
        <w:rPr>
          <w:rStyle w:val="word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7CA" w:rsidRDefault="00C8575D" w:rsidP="00C8575D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 w:rsidRPr="007B6CF4">
        <w:rPr>
          <w:rFonts w:ascii="Times New Roman" w:hAnsi="Times New Roman"/>
        </w:rPr>
        <w:t xml:space="preserve">The purpose of this report is to </w:t>
      </w:r>
      <w:r w:rsidR="00295B24">
        <w:rPr>
          <w:rFonts w:ascii="Times New Roman" w:hAnsi="Times New Roman"/>
        </w:rPr>
        <w:t>reflect the Hybrid event held on 06</w:t>
      </w:r>
      <w:r w:rsidR="00295B24" w:rsidRPr="00295B24">
        <w:rPr>
          <w:rFonts w:ascii="Times New Roman" w:hAnsi="Times New Roman"/>
          <w:vertAlign w:val="superscript"/>
        </w:rPr>
        <w:t>th</w:t>
      </w:r>
      <w:r w:rsidR="00295B24">
        <w:rPr>
          <w:rFonts w:ascii="Times New Roman" w:hAnsi="Times New Roman"/>
        </w:rPr>
        <w:t xml:space="preserve"> of February 2024 </w:t>
      </w:r>
      <w:r w:rsidR="00F766E1">
        <w:rPr>
          <w:rFonts w:ascii="Times New Roman" w:hAnsi="Times New Roman"/>
        </w:rPr>
        <w:t xml:space="preserve">both online/ offline for </w:t>
      </w:r>
      <w:r w:rsidR="004577CA">
        <w:rPr>
          <w:rFonts w:ascii="Times New Roman" w:hAnsi="Times New Roman"/>
        </w:rPr>
        <w:t>present</w:t>
      </w:r>
      <w:r w:rsidR="00F766E1">
        <w:rPr>
          <w:rFonts w:ascii="Times New Roman" w:hAnsi="Times New Roman"/>
        </w:rPr>
        <w:t>ing</w:t>
      </w:r>
      <w:r w:rsidR="004577CA">
        <w:rPr>
          <w:rFonts w:ascii="Times New Roman" w:hAnsi="Times New Roman"/>
        </w:rPr>
        <w:t xml:space="preserve"> the final </w:t>
      </w:r>
      <w:r w:rsidRPr="007B6CF4">
        <w:rPr>
          <w:rFonts w:ascii="Times New Roman" w:hAnsi="Times New Roman"/>
        </w:rPr>
        <w:t xml:space="preserve">framework for the assessment of transformative digital pedagogical competence of academic staff, based on the results gained within the </w:t>
      </w:r>
      <w:r w:rsidR="004577CA">
        <w:rPr>
          <w:rFonts w:ascii="Times New Roman" w:hAnsi="Times New Roman"/>
        </w:rPr>
        <w:t>already conducted activities:</w:t>
      </w:r>
    </w:p>
    <w:p w:rsidR="004577CA" w:rsidRDefault="004577CA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</w:t>
      </w:r>
      <w:r w:rsidR="00C8575D" w:rsidRPr="007B6CF4">
        <w:rPr>
          <w:rFonts w:ascii="Times New Roman" w:hAnsi="Times New Roman"/>
        </w:rPr>
        <w:t xml:space="preserve">ctivity </w:t>
      </w:r>
      <w:r>
        <w:rPr>
          <w:rFonts w:ascii="Times New Roman" w:hAnsi="Times New Roman"/>
        </w:rPr>
        <w:t>WP2 - A</w:t>
      </w:r>
      <w:r w:rsidR="00C8575D" w:rsidRPr="007B6CF4">
        <w:rPr>
          <w:rFonts w:ascii="Times New Roman" w:hAnsi="Times New Roman"/>
        </w:rPr>
        <w:t>2.1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Overview of assessment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frameworks</w:t>
      </w:r>
      <w:r>
        <w:rPr>
          <w:rFonts w:ascii="Times New Roman" w:hAnsi="Times New Roman"/>
        </w:rPr>
        <w:t>;</w:t>
      </w:r>
    </w:p>
    <w:p w:rsidR="004577CA" w:rsidRDefault="004577CA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activity WP2 -A2.2 </w:t>
      </w:r>
      <w:r w:rsidRPr="004577CA">
        <w:rPr>
          <w:rFonts w:ascii="Times New Roman" w:hAnsi="Times New Roman"/>
        </w:rPr>
        <w:t>Creating data collection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instruments for the co-creation of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the self-assessment framework and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its evaluation</w:t>
      </w:r>
      <w:r>
        <w:rPr>
          <w:rFonts w:ascii="Times New Roman" w:hAnsi="Times New Roman"/>
        </w:rPr>
        <w:t>;</w:t>
      </w:r>
    </w:p>
    <w:p w:rsidR="004577CA" w:rsidRPr="004577CA" w:rsidRDefault="004577CA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activity WP2 – A2.3 </w:t>
      </w:r>
      <w:r w:rsidRPr="004577CA">
        <w:rPr>
          <w:rFonts w:ascii="Times New Roman" w:hAnsi="Times New Roman"/>
        </w:rPr>
        <w:t>Creating a focus group for the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co-construction of the new self-</w:t>
      </w:r>
    </w:p>
    <w:p w:rsidR="00672735" w:rsidRDefault="004577CA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 w:rsidRPr="004577CA">
        <w:rPr>
          <w:rFonts w:ascii="Times New Roman" w:hAnsi="Times New Roman"/>
        </w:rPr>
        <w:t>assessment framework on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transformative digital pedagogies</w:t>
      </w:r>
      <w:r>
        <w:rPr>
          <w:rFonts w:ascii="Times New Roman" w:hAnsi="Times New Roman"/>
        </w:rPr>
        <w:t>;</w:t>
      </w:r>
    </w:p>
    <w:p w:rsidR="00672735" w:rsidRDefault="00672735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activity WP2 – A2.4 </w:t>
      </w:r>
      <w:r w:rsidRPr="00672735">
        <w:rPr>
          <w:rFonts w:ascii="Times New Roman" w:hAnsi="Times New Roman"/>
        </w:rPr>
        <w:t>Developing the TDP4HE</w:t>
      </w:r>
      <w:r>
        <w:rPr>
          <w:rFonts w:ascii="Times New Roman" w:hAnsi="Times New Roman"/>
        </w:rPr>
        <w:t xml:space="preserve"> </w:t>
      </w:r>
      <w:r w:rsidRPr="00672735">
        <w:rPr>
          <w:rFonts w:ascii="Times New Roman" w:hAnsi="Times New Roman"/>
        </w:rPr>
        <w:t>self-</w:t>
      </w:r>
      <w:r>
        <w:rPr>
          <w:rFonts w:ascii="Times New Roman" w:hAnsi="Times New Roman"/>
        </w:rPr>
        <w:t xml:space="preserve"> </w:t>
      </w:r>
      <w:r w:rsidRPr="00672735">
        <w:rPr>
          <w:rFonts w:ascii="Times New Roman" w:hAnsi="Times New Roman"/>
        </w:rPr>
        <w:t>assessment framework</w:t>
      </w:r>
    </w:p>
    <w:p w:rsidR="002E63D5" w:rsidRDefault="00672735" w:rsidP="002E63D5">
      <w:pPr>
        <w:pStyle w:val="1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activity WP2 – A2.5 </w:t>
      </w:r>
      <w:r w:rsidRPr="00672735">
        <w:rPr>
          <w:rFonts w:ascii="Times New Roman" w:hAnsi="Times New Roman"/>
        </w:rPr>
        <w:t>Producing the TDP4HE self-assessment framework e-Tool</w:t>
      </w:r>
      <w:r w:rsidR="00F766E1">
        <w:rPr>
          <w:rFonts w:ascii="Times New Roman" w:hAnsi="Times New Roman"/>
        </w:rPr>
        <w:t>.</w:t>
      </w:r>
    </w:p>
    <w:p w:rsidR="00F766E1" w:rsidRDefault="00F766E1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/>
        </w:rPr>
        <w:br w:type="page"/>
      </w:r>
    </w:p>
    <w:p w:rsidR="00F766E1" w:rsidRDefault="00F766E1" w:rsidP="00F766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66E1" w:rsidRPr="007B6CF4" w:rsidRDefault="00F766E1" w:rsidP="00F766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DESCRIPTION OF HYBRID EVENT</w:t>
      </w:r>
    </w:p>
    <w:p w:rsidR="00F766E1" w:rsidRPr="007B6CF4" w:rsidRDefault="00F766E1" w:rsidP="00F766E1">
      <w:pPr>
        <w:spacing w:after="0" w:line="360" w:lineRule="auto"/>
        <w:ind w:firstLine="567"/>
        <w:jc w:val="both"/>
        <w:rPr>
          <w:rStyle w:val="word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 06</w:t>
      </w:r>
      <w:r w:rsidRPr="00F766E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of February 2024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Time: 14.00-16.00 (CET)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Place: online/offline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Participants: 53 participants from Latvia, Spain, Ireland, Cyprus and France (list of participants is presented in Appendix 3).</w:t>
      </w:r>
    </w:p>
    <w:p w:rsidR="00F766E1" w:rsidRDefault="00174EA4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766E1">
        <w:rPr>
          <w:rFonts w:ascii="Times New Roman" w:hAnsi="Times New Roman"/>
        </w:rPr>
        <w:t>genda</w:t>
      </w:r>
      <w:r>
        <w:rPr>
          <w:rFonts w:ascii="Times New Roman" w:hAnsi="Times New Roman"/>
        </w:rPr>
        <w:t>:</w:t>
      </w:r>
      <w:r w:rsidR="00F766E1">
        <w:rPr>
          <w:rFonts w:ascii="Times New Roman" w:hAnsi="Times New Roman"/>
        </w:rPr>
        <w:t xml:space="preserve"> presented in Appendix 1. 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577CA">
        <w:rPr>
          <w:rFonts w:ascii="Times New Roman" w:hAnsi="Times New Roman"/>
        </w:rPr>
        <w:t>2.7: Hybrid event (E1). The event w</w:t>
      </w:r>
      <w:r>
        <w:rPr>
          <w:rFonts w:ascii="Times New Roman" w:hAnsi="Times New Roman"/>
        </w:rPr>
        <w:t>as</w:t>
      </w:r>
      <w:r w:rsidRPr="004577CA">
        <w:rPr>
          <w:rFonts w:ascii="Times New Roman" w:hAnsi="Times New Roman"/>
        </w:rPr>
        <w:t xml:space="preserve"> organised as an open workshop with an introduction to the TDP4HE self-</w:t>
      </w:r>
      <w:r>
        <w:rPr>
          <w:rFonts w:ascii="Times New Roman" w:hAnsi="Times New Roman"/>
        </w:rPr>
        <w:t xml:space="preserve"> </w:t>
      </w:r>
      <w:r w:rsidRPr="004577CA">
        <w:rPr>
          <w:rFonts w:ascii="Times New Roman" w:hAnsi="Times New Roman"/>
        </w:rPr>
        <w:t>assessment framework</w:t>
      </w:r>
      <w:r>
        <w:rPr>
          <w:rFonts w:ascii="Times New Roman" w:hAnsi="Times New Roman"/>
        </w:rPr>
        <w:t xml:space="preserve"> (Appendix 2)</w:t>
      </w:r>
      <w:r w:rsidRPr="004577CA">
        <w:rPr>
          <w:rFonts w:ascii="Times New Roman" w:hAnsi="Times New Roman"/>
        </w:rPr>
        <w:t>, followed by a hands-on session where the participants will learn how to use the self-assessment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Following the A2.7, the testing of self-assessment e-tool was conducted (A2.6).</w:t>
      </w: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</w:p>
    <w:p w:rsidR="00F766E1" w:rsidRDefault="00F766E1" w:rsidP="00F766E1">
      <w:pPr>
        <w:pStyle w:val="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</w:rPr>
      </w:pPr>
    </w:p>
    <w:p w:rsidR="002E63D5" w:rsidRDefault="002E63D5" w:rsidP="002E63D5">
      <w:pPr>
        <w:rPr>
          <w:rFonts w:eastAsia="Times New Roman" w:cs="Times New Roman"/>
          <w:sz w:val="24"/>
          <w:szCs w:val="24"/>
          <w:lang w:val="en-GB" w:eastAsia="en-GB"/>
        </w:rPr>
      </w:pPr>
      <w:r>
        <w:br w:type="page"/>
      </w:r>
    </w:p>
    <w:p w:rsidR="00F766E1" w:rsidRDefault="002E63D5" w:rsidP="002E63D5">
      <w:pPr>
        <w:pStyle w:val="NormalWeb"/>
        <w:spacing w:before="280" w:beforeAutospacing="0" w:after="280" w:afterAutospacing="0"/>
        <w:jc w:val="right"/>
        <w:rPr>
          <w:b/>
          <w:color w:val="000000"/>
        </w:rPr>
      </w:pPr>
      <w:r w:rsidRPr="002E63D5">
        <w:rPr>
          <w:b/>
          <w:color w:val="000000"/>
        </w:rPr>
        <w:lastRenderedPageBreak/>
        <w:t xml:space="preserve">Appendix </w:t>
      </w:r>
      <w:r>
        <w:rPr>
          <w:b/>
          <w:color w:val="000000"/>
        </w:rPr>
        <w:t>1</w:t>
      </w:r>
    </w:p>
    <w:p w:rsidR="00F766E1" w:rsidRPr="00F766E1" w:rsidRDefault="00F766E1" w:rsidP="00F766E1">
      <w:pPr>
        <w:jc w:val="center"/>
        <w:rPr>
          <w:rFonts w:ascii="Times New Roman" w:hAnsi="Times New Roman" w:cs="Times New Roman"/>
          <w:b/>
          <w:lang w:val="es-ES"/>
        </w:rPr>
      </w:pPr>
      <w:r w:rsidRPr="00F766E1">
        <w:rPr>
          <w:rStyle w:val="Policepardfaut"/>
          <w:rFonts w:ascii="Times New Roman" w:hAnsi="Times New Roman" w:cs="Times New Roman"/>
          <w:b/>
          <w:color w:val="000000"/>
        </w:rPr>
        <w:t xml:space="preserve">ERASMUS+ project </w:t>
      </w:r>
      <w:r w:rsidRPr="00F766E1">
        <w:rPr>
          <w:rStyle w:val="Policepardfaut"/>
          <w:rFonts w:ascii="Times New Roman" w:hAnsi="Times New Roman" w:cs="Times New Roman"/>
          <w:b/>
          <w:bCs/>
          <w:color w:val="000000"/>
        </w:rPr>
        <w:t xml:space="preserve">“Transformative Digital Pedagogies for Higher Education” </w:t>
      </w:r>
      <w:r w:rsidRPr="00F766E1">
        <w:rPr>
          <w:rStyle w:val="Policepardfaut"/>
          <w:rFonts w:ascii="Times New Roman" w:hAnsi="Times New Roman" w:cs="Times New Roman"/>
          <w:b/>
          <w:bCs/>
          <w:color w:val="000000"/>
        </w:rPr>
        <w:br/>
        <w:t>contract Nr</w:t>
      </w:r>
      <w:r w:rsidRPr="00F766E1">
        <w:rPr>
          <w:rStyle w:val="Policepardfaut"/>
          <w:rFonts w:ascii="Times New Roman" w:hAnsi="Times New Roman" w:cs="Times New Roman"/>
          <w:b/>
          <w:color w:val="000000"/>
        </w:rPr>
        <w:t xml:space="preserve">. </w:t>
      </w:r>
      <w:r w:rsidRPr="00F766E1">
        <w:rPr>
          <w:rStyle w:val="Policepardfaut"/>
          <w:rFonts w:ascii="Times New Roman" w:hAnsi="Times New Roman" w:cs="Times New Roman"/>
          <w:b/>
          <w:bCs/>
          <w:color w:val="000000"/>
        </w:rPr>
        <w:t>2022-1-LV01-KA220-HED-000085277</w:t>
      </w:r>
      <w:r w:rsidRPr="00F766E1">
        <w:rPr>
          <w:rStyle w:val="Policepardfaut"/>
          <w:rFonts w:ascii="Times New Roman" w:hAnsi="Times New Roman" w:cs="Times New Roman"/>
          <w:b/>
          <w:color w:val="000000"/>
        </w:rPr>
        <w:t xml:space="preserve"> </w:t>
      </w:r>
      <w:r w:rsidRPr="00F766E1">
        <w:rPr>
          <w:rStyle w:val="Policepardfaut"/>
          <w:rFonts w:ascii="Times New Roman" w:hAnsi="Times New Roman" w:cs="Times New Roman"/>
          <w:b/>
          <w:bCs/>
          <w:color w:val="FFFFFF"/>
        </w:rPr>
        <w:t>t</w:t>
      </w:r>
    </w:p>
    <w:p w:rsidR="00F766E1" w:rsidRDefault="00F766E1" w:rsidP="00F766E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en-GB"/>
        </w:rPr>
        <w:t>WP2: Theoretical and empirical framework of transformative digital pedagogical competences</w:t>
      </w:r>
    </w:p>
    <w:p w:rsidR="00F766E1" w:rsidRDefault="00F766E1" w:rsidP="00F766E1">
      <w:pPr>
        <w:spacing w:after="0"/>
        <w:jc w:val="center"/>
        <w:rPr>
          <w:rFonts w:ascii="Calibri" w:eastAsia="Calibri" w:hAnsi="Calibri"/>
          <w:lang w:val="es-ES"/>
        </w:rPr>
      </w:pPr>
    </w:p>
    <w:p w:rsidR="00F766E1" w:rsidRDefault="00F766E1" w:rsidP="00F766E1">
      <w:pPr>
        <w:pStyle w:val="a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AGENDA</w:t>
      </w:r>
    </w:p>
    <w:p w:rsidR="00F766E1" w:rsidRDefault="00F766E1" w:rsidP="00F766E1">
      <w:pPr>
        <w:pStyle w:val="a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Hybrid Event (E1)</w:t>
      </w:r>
    </w:p>
    <w:p w:rsidR="00F766E1" w:rsidRDefault="00F766E1" w:rsidP="00F766E1">
      <w:pPr>
        <w:pStyle w:val="a"/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February 6</w:t>
      </w:r>
      <w:r>
        <w:rPr>
          <w:rFonts w:ascii="Times New Roman" w:eastAsia="Calibri" w:hAnsi="Times New Roman"/>
          <w:b/>
          <w:i/>
          <w:vertAlign w:val="superscript"/>
        </w:rPr>
        <w:t>th</w:t>
      </w:r>
      <w:r>
        <w:rPr>
          <w:rFonts w:ascii="Times New Roman" w:eastAsia="Calibri" w:hAnsi="Times New Roman"/>
          <w:b/>
          <w:i/>
        </w:rPr>
        <w:t>, 2024</w:t>
      </w:r>
    </w:p>
    <w:p w:rsidR="00F766E1" w:rsidRDefault="00F766E1" w:rsidP="00F766E1">
      <w:pPr>
        <w:pStyle w:val="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14.00 – 16.00 CET</w:t>
      </w:r>
    </w:p>
    <w:p w:rsidR="00F766E1" w:rsidRDefault="00F766E1" w:rsidP="00F766E1">
      <w:pPr>
        <w:pStyle w:val="a"/>
        <w:autoSpaceDE w:val="0"/>
        <w:jc w:val="center"/>
        <w:rPr>
          <w:rFonts w:ascii="FreeSans" w:eastAsia="Calibri" w:hAnsi="FreeSans"/>
        </w:rPr>
      </w:pPr>
      <w:r>
        <w:rPr>
          <w:rFonts w:ascii="FreeSans" w:eastAsia="Calibri" w:hAnsi="FreeSans"/>
        </w:rPr>
        <w:t>Microsoft Teams Platform/RTU</w:t>
      </w:r>
    </w:p>
    <w:p w:rsidR="00F766E1" w:rsidRDefault="00F766E1" w:rsidP="00F766E1">
      <w:pPr>
        <w:spacing w:after="0"/>
        <w:jc w:val="center"/>
        <w:rPr>
          <w:rFonts w:ascii="Calibri" w:eastAsia="Calibri" w:hAnsi="Calibri"/>
        </w:rPr>
      </w:pPr>
    </w:p>
    <w:p w:rsidR="00F766E1" w:rsidRDefault="00F766E1" w:rsidP="00F766E1">
      <w:pPr>
        <w:spacing w:after="0"/>
        <w:jc w:val="center"/>
      </w:pPr>
    </w:p>
    <w:tbl>
      <w:tblPr>
        <w:tblW w:w="8496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719"/>
        <w:gridCol w:w="1501"/>
      </w:tblGrid>
      <w:tr w:rsidR="00F766E1" w:rsidTr="00F766E1">
        <w:trPr>
          <w:trHeight w:val="494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NormalWeb"/>
              <w:spacing w:before="280" w:after="280"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14.00</w:t>
            </w:r>
          </w:p>
        </w:tc>
        <w:tc>
          <w:tcPr>
            <w:tcW w:w="5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NormalWeb"/>
              <w:spacing w:before="280" w:after="280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Short introduction into </w:t>
            </w:r>
            <w:r>
              <w:rPr>
                <w:rStyle w:val="Policepardfaut"/>
                <w:color w:val="000000"/>
              </w:rPr>
              <w:t xml:space="preserve">ERASMUS+ project </w:t>
            </w:r>
            <w:r>
              <w:rPr>
                <w:rStyle w:val="Policepardfaut"/>
                <w:b/>
                <w:bCs/>
                <w:color w:val="000000"/>
              </w:rPr>
              <w:t xml:space="preserve">“Transformative Digital Pedagogies for Higher Education” 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</w:pPr>
            <w:r>
              <w:rPr>
                <w:rFonts w:ascii="Times New Roman" w:eastAsia="Calibri" w:hAnsi="Times New Roman"/>
              </w:rPr>
              <w:t>RTU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14.10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Presentation of </w:t>
            </w:r>
            <w:r>
              <w:rPr>
                <w:rFonts w:ascii="Times New Roman" w:hAnsi="Times New Roman"/>
                <w:bCs/>
              </w:rPr>
              <w:t xml:space="preserve">TDP4HE self-assessment framework </w:t>
            </w:r>
            <w:r>
              <w:rPr>
                <w:rFonts w:ascii="Times New Roman" w:hAnsi="Times New Roman"/>
              </w:rPr>
              <w:t>(A2.7)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</w:pPr>
            <w:r>
              <w:rPr>
                <w:rFonts w:ascii="Times New Roman" w:eastAsia="Calibri" w:hAnsi="Times New Roman"/>
              </w:rPr>
              <w:t>R</w:t>
            </w:r>
            <w:r>
              <w:rPr>
                <w:rFonts w:eastAsia="Calibri"/>
              </w:rPr>
              <w:t>TU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14.40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SUMMARY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All Participants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14.50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Introduction to </w:t>
            </w:r>
            <w:r>
              <w:rPr>
                <w:rFonts w:ascii="Times New Roman" w:hAnsi="Times New Roman"/>
                <w:bCs/>
              </w:rPr>
              <w:t>TDP4HE self-assessment framework e-tool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RTU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15.00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Filling-in the </w:t>
            </w:r>
            <w:r>
              <w:rPr>
                <w:rFonts w:ascii="Times New Roman" w:hAnsi="Times New Roman"/>
                <w:bCs/>
              </w:rPr>
              <w:t xml:space="preserve">TDP4HE self-assessment framework </w:t>
            </w:r>
            <w:r>
              <w:rPr>
                <w:rFonts w:ascii="Times New Roman" w:eastAsia="Calibri" w:hAnsi="Times New Roman"/>
              </w:rPr>
              <w:t>e-tool for testing (A2.6)</w:t>
            </w:r>
          </w:p>
          <w:p w:rsidR="00F766E1" w:rsidRDefault="00F766E1">
            <w:pPr>
              <w:pStyle w:val="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Explaining the statements and scaling 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RTU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15.15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Participants fill-in </w:t>
            </w:r>
            <w:r>
              <w:rPr>
                <w:rFonts w:ascii="Times New Roman" w:hAnsi="Times New Roman"/>
                <w:bCs/>
              </w:rPr>
              <w:t>TDP4HE self-assessment framework e-tool individually</w:t>
            </w:r>
          </w:p>
          <w:p w:rsidR="00F766E1" w:rsidRDefault="00F766E1">
            <w:pPr>
              <w:pStyle w:val="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 case of necessity the explanations can be provided 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All Participants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15.30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Explanation of </w:t>
            </w:r>
            <w:r>
              <w:rPr>
                <w:rFonts w:ascii="Times New Roman" w:hAnsi="Times New Roman"/>
                <w:bCs/>
              </w:rPr>
              <w:t xml:space="preserve">TDP4HE self-assessment framework e-tool assessment results 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RTU</w:t>
            </w:r>
          </w:p>
        </w:tc>
      </w:tr>
      <w:tr w:rsidR="00F766E1" w:rsidTr="00F766E1"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15.45</w:t>
            </w:r>
          </w:p>
        </w:tc>
        <w:tc>
          <w:tcPr>
            <w:tcW w:w="57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</w:pPr>
            <w:r>
              <w:rPr>
                <w:rFonts w:ascii="Times New Roman" w:eastAsia="Calibri" w:hAnsi="Times New Roman"/>
              </w:rPr>
              <w:t xml:space="preserve">Conclusion / summary </w:t>
            </w:r>
          </w:p>
        </w:tc>
        <w:tc>
          <w:tcPr>
            <w:tcW w:w="15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6E1" w:rsidRDefault="00F766E1">
            <w:pPr>
              <w:pStyle w:val="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All Participants</w:t>
            </w:r>
          </w:p>
        </w:tc>
      </w:tr>
    </w:tbl>
    <w:p w:rsidR="00F766E1" w:rsidRDefault="00F766E1" w:rsidP="00F766E1">
      <w:pPr>
        <w:jc w:val="both"/>
        <w:rPr>
          <w:rFonts w:ascii="Times New Roman" w:eastAsia="Calibri" w:hAnsi="Times New Roman"/>
          <w:lang w:val="en-GB"/>
        </w:rPr>
      </w:pPr>
    </w:p>
    <w:p w:rsidR="00F766E1" w:rsidRDefault="00F766E1" w:rsidP="00F766E1">
      <w:pPr>
        <w:jc w:val="both"/>
        <w:rPr>
          <w:rFonts w:ascii="Times New Roman" w:hAnsi="Times New Roman"/>
          <w:lang w:val="es-ES"/>
        </w:rPr>
      </w:pPr>
    </w:p>
    <w:p w:rsidR="002E63D5" w:rsidRDefault="002E63D5" w:rsidP="002E63D5">
      <w:pPr>
        <w:pStyle w:val="NormalWeb"/>
        <w:spacing w:before="280" w:beforeAutospacing="0" w:after="280" w:afterAutospacing="0"/>
        <w:jc w:val="right"/>
        <w:rPr>
          <w:b/>
          <w:color w:val="000000"/>
        </w:rPr>
      </w:pPr>
    </w:p>
    <w:p w:rsidR="00F766E1" w:rsidRDefault="00F766E1" w:rsidP="00F766E1">
      <w:pPr>
        <w:pStyle w:val="NormalWeb"/>
        <w:spacing w:before="280" w:beforeAutospacing="0" w:after="280" w:afterAutospacing="0"/>
        <w:jc w:val="right"/>
        <w:rPr>
          <w:b/>
          <w:color w:val="000000"/>
        </w:rPr>
      </w:pPr>
      <w:r w:rsidRPr="002E63D5">
        <w:rPr>
          <w:b/>
          <w:color w:val="000000"/>
        </w:rPr>
        <w:t xml:space="preserve">Appendix </w:t>
      </w:r>
      <w:r>
        <w:rPr>
          <w:b/>
          <w:color w:val="000000"/>
        </w:rPr>
        <w:t>2</w:t>
      </w:r>
    </w:p>
    <w:p w:rsidR="00F766E1" w:rsidRDefault="00F766E1" w:rsidP="002E63D5">
      <w:pPr>
        <w:pStyle w:val="NormalWeb"/>
        <w:spacing w:before="280" w:beforeAutospacing="0" w:after="280" w:afterAutospacing="0"/>
        <w:rPr>
          <w:b/>
          <w:color w:val="000000"/>
        </w:rPr>
      </w:pPr>
    </w:p>
    <w:p w:rsidR="00F766E1" w:rsidRDefault="00F766E1" w:rsidP="002E63D5">
      <w:pPr>
        <w:pStyle w:val="NormalWeb"/>
        <w:spacing w:before="280" w:beforeAutospacing="0" w:after="280" w:afterAutospacing="0"/>
        <w:rPr>
          <w:b/>
          <w:color w:val="000000"/>
        </w:rPr>
      </w:pPr>
    </w:p>
    <w:p w:rsidR="002E63D5" w:rsidRDefault="007B337E" w:rsidP="002E63D5">
      <w:pPr>
        <w:pStyle w:val="NormalWeb"/>
        <w:spacing w:before="280" w:beforeAutospacing="0" w:after="280" w:afterAutospacing="0"/>
        <w:rPr>
          <w:b/>
          <w:color w:val="000000"/>
        </w:rPr>
      </w:pPr>
      <w:r w:rsidRPr="007B337E">
        <w:rPr>
          <w:b/>
          <w:noProof/>
          <w:color w:val="000000"/>
        </w:rPr>
        <w:drawing>
          <wp:inline distT="0" distB="0" distL="0" distR="0" wp14:anchorId="0397CBEF" wp14:editId="4E617B71">
            <wp:extent cx="5731510" cy="322389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7E" w:rsidRDefault="007B337E" w:rsidP="002E63D5">
      <w:pPr>
        <w:pStyle w:val="NormalWeb"/>
        <w:spacing w:before="280" w:beforeAutospacing="0" w:after="280" w:afterAutospacing="0"/>
        <w:rPr>
          <w:b/>
          <w:color w:val="000000"/>
        </w:rPr>
      </w:pPr>
      <w:r w:rsidRPr="007B337E">
        <w:rPr>
          <w:b/>
          <w:noProof/>
          <w:color w:val="000000"/>
        </w:rPr>
        <w:drawing>
          <wp:inline distT="0" distB="0" distL="0" distR="0" wp14:anchorId="53DE80CE" wp14:editId="24F39408">
            <wp:extent cx="5731510" cy="3223895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7E" w:rsidRDefault="007B337E">
      <w:r>
        <w:br w:type="page"/>
      </w:r>
    </w:p>
    <w:p w:rsidR="007B337E" w:rsidRDefault="007B337E" w:rsidP="007B337E">
      <w:pPr>
        <w:pStyle w:val="NormalWeb"/>
        <w:spacing w:before="280" w:beforeAutospacing="0" w:after="280" w:afterAutospacing="0"/>
        <w:rPr>
          <w:b/>
          <w:color w:val="000000"/>
        </w:rPr>
      </w:pPr>
    </w:p>
    <w:p w:rsidR="007B337E" w:rsidRDefault="007B337E" w:rsidP="007B337E">
      <w:pPr>
        <w:rPr>
          <w:rFonts w:ascii="Times New Roman" w:eastAsia="Times New Roman" w:hAnsi="Times New Roman" w:cs="Times New Roman"/>
          <w:sz w:val="24"/>
          <w:szCs w:val="24"/>
        </w:rPr>
      </w:pPr>
      <w:r w:rsidRPr="007B33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547FA0" wp14:editId="1D6BC4DC">
            <wp:extent cx="5731510" cy="322389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37E">
        <w:rPr>
          <w:noProof/>
        </w:rPr>
        <w:t xml:space="preserve"> </w:t>
      </w:r>
      <w:r w:rsidRPr="007B337E">
        <w:rPr>
          <w:noProof/>
        </w:rPr>
        <w:drawing>
          <wp:inline distT="0" distB="0" distL="0" distR="0" wp14:anchorId="02305810" wp14:editId="1156E001">
            <wp:extent cx="5731510" cy="3223895"/>
            <wp:effectExtent l="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E63D5" w:rsidRPr="002E63D5" w:rsidRDefault="002E63D5" w:rsidP="002E63D5">
      <w:pPr>
        <w:pStyle w:val="NormalWeb"/>
        <w:spacing w:before="280" w:beforeAutospacing="0" w:after="280" w:afterAutospacing="0"/>
        <w:jc w:val="right"/>
        <w:rPr>
          <w:b/>
          <w:color w:val="000000"/>
        </w:rPr>
      </w:pPr>
      <w:r w:rsidRPr="002E63D5">
        <w:rPr>
          <w:b/>
          <w:color w:val="000000"/>
        </w:rPr>
        <w:lastRenderedPageBreak/>
        <w:t xml:space="preserve">Appendix </w:t>
      </w:r>
      <w:r w:rsidR="00F766E1">
        <w:rPr>
          <w:b/>
          <w:color w:val="000000"/>
        </w:rPr>
        <w:t>3</w:t>
      </w:r>
    </w:p>
    <w:p w:rsidR="002E63D5" w:rsidRDefault="002E63D5" w:rsidP="002E63D5">
      <w:pPr>
        <w:pStyle w:val="NormalWeb"/>
        <w:spacing w:before="280" w:beforeAutospacing="0" w:after="280" w:afterAutospacing="0"/>
        <w:jc w:val="center"/>
        <w:rPr>
          <w:rFonts w:ascii="Arial" w:hAnsi="Arial" w:cs="Arial"/>
          <w:color w:val="000000"/>
        </w:rPr>
      </w:pPr>
    </w:p>
    <w:p w:rsidR="002E63D5" w:rsidRDefault="002E63D5" w:rsidP="002E63D5">
      <w:pPr>
        <w:pStyle w:val="NormalWeb"/>
        <w:spacing w:before="280" w:beforeAutospacing="0" w:after="280" w:afterAutospacing="0"/>
        <w:jc w:val="center"/>
        <w:rPr>
          <w:lang w:val="en-GB"/>
        </w:rPr>
      </w:pPr>
      <w:r>
        <w:rPr>
          <w:rFonts w:ascii="Arial" w:hAnsi="Arial" w:cs="Arial"/>
          <w:color w:val="000000"/>
        </w:rPr>
        <w:t xml:space="preserve">ERASMUS+ project </w:t>
      </w:r>
      <w:r>
        <w:rPr>
          <w:rFonts w:ascii="Arial" w:hAnsi="Arial" w:cs="Arial"/>
          <w:b/>
          <w:bCs/>
          <w:color w:val="000000"/>
        </w:rPr>
        <w:t xml:space="preserve">“Transformative Digital Pedagogies for Higher Education” </w:t>
      </w:r>
      <w:r>
        <w:rPr>
          <w:rFonts w:ascii="Arial" w:hAnsi="Arial" w:cs="Arial"/>
          <w:b/>
          <w:bCs/>
          <w:color w:val="000000"/>
        </w:rPr>
        <w:br/>
        <w:t>contract Nr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2022-1-LV01-KA220-HED-000085277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FFFFFF"/>
        </w:rPr>
        <w:t>t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t>WP2: Theoretical and empirical framework of transformative digital pedagogical competences</w:t>
      </w:r>
    </w:p>
    <w:p w:rsidR="002E63D5" w:rsidRDefault="002E63D5" w:rsidP="002E63D5"/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Hybrid Event (E1)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Participants 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February 6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color w:val="000000"/>
        </w:rPr>
        <w:t>, 2024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14.00 – 16.00 CET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Microsoft Teams Platform/RTU</w:t>
      </w:r>
    </w:p>
    <w:p w:rsidR="002E63D5" w:rsidRDefault="002E63D5" w:rsidP="002E63D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Organizer: Riga Technical University, Latvia</w:t>
      </w:r>
    </w:p>
    <w:p w:rsidR="002E63D5" w:rsidRDefault="002E63D5" w:rsidP="002E63D5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737"/>
        <w:gridCol w:w="864"/>
        <w:gridCol w:w="3063"/>
      </w:tblGrid>
      <w:tr w:rsidR="002E63D5" w:rsidTr="002E63D5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63D5" w:rsidRDefault="002E6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3D5" w:rsidRDefault="002E63D5">
            <w:pPr>
              <w:pStyle w:val="NormalWeb"/>
              <w:spacing w:before="0" w:beforeAutospacing="0" w:after="0" w:afterAutospacing="0"/>
              <w:ind w:left="26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Name, Family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3D5" w:rsidRDefault="002E6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63D5" w:rsidRDefault="002E6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aina.strode@rta.lv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Alejandro Martínez Sala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Alejandros.martinez@upct.es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Klodane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alona.klodane@rta.lv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Abolina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anda.abolina@rta.lv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Sprince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Andina.sprince@rtu.lv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Mutule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Anna.matule@rtu.lv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Antonio Juan Briones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Peñalver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Aj.briones@upct.es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Atiq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Atiq.ahmed@utt.fr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Aurelien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Aurelien.benel@utt.fr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Dmitrijs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Serdjuks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Dmitrijs.serdjuks@rtu.lv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Eleanor Asprey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Eleanor.asprey@utt.es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 Constantinou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Elis.constantinou@cut.ac.cy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Enrique Castro Rodríguez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Enrique.castro@upct.es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Eriks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KJavins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F427AE">
            <w:pPr>
              <w:pStyle w:val="NormalWeb"/>
              <w:spacing w:before="60" w:beforeAutospacing="0" w:after="60" w:afterAutospacing="0"/>
            </w:pPr>
            <w:hyperlink r:id="rId12" w:history="1">
              <w:r w:rsidR="002E63D5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Eriks.klavins@rtu.lv</w:t>
              </w:r>
            </w:hyperlink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 Martínez Caro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Eva.martinez@upct.es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 Martínez García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Eva.martinezg@upct.es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Javier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Cánovas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Rodríguez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FcoJavier.canovas@upct.es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Vera García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Francisco.vera@upct.es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Gonzalo García 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Gonzalo.garcia@upct.es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Gunars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gunars.strods@rta.lv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Gundars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Alksnis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Gundars.alksnis@rtu.lv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Hadji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Constantinou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s.hadjiconstantinou@cut.ac.cy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Birzniece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Ilze.birzniece@rtu.lv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Bodza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F427AE">
            <w:pPr>
              <w:pStyle w:val="NormalWeb"/>
              <w:spacing w:before="60" w:beforeAutospacing="0" w:after="60" w:afterAutospacing="0"/>
            </w:pPr>
            <w:hyperlink r:id="rId13" w:history="1">
              <w:r w:rsidR="002E63D5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ilze.bodza@rta.lv</w:t>
              </w:r>
            </w:hyperlink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Inese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Novica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F427AE">
            <w:pPr>
              <w:pStyle w:val="NormalWeb"/>
              <w:spacing w:before="60" w:beforeAutospacing="0" w:after="60" w:afterAutospacing="0"/>
            </w:pPr>
            <w:hyperlink r:id="rId14" w:history="1">
              <w:r w:rsidR="002E63D5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Inese.novika@rta.lv</w:t>
              </w:r>
            </w:hyperlink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Irēna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Beinarovica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Litvinova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irena.beinarovica-litvinova@rta.lv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Dzerviniks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Janis.dzerviniks@rta.lv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Pastor Franco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Juanangel.pastor@upct.es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 Patricio Castro Valdivia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Juanpatricio.castro@upct.es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Ruíz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Alvarez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F427AE">
            <w:pPr>
              <w:pStyle w:val="NormalWeb"/>
              <w:spacing w:before="60" w:beforeAutospacing="0" w:after="60" w:afterAutospacing="0"/>
            </w:pPr>
            <w:hyperlink r:id="rId15" w:history="1">
              <w:r w:rsidR="002E63D5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Juan.ruiz@upct.es</w:t>
              </w:r>
            </w:hyperlink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Konstantins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Kozlovskis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Konstantins.kozlovskis@rtu.lv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Fedotova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kristine.fedotova@gmail.com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Vitola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Laura.vitola_1@rtu.lv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Daniläne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Liga.danilane@rta.lv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Liliana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Pravarne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liliana.pravarne-statkus@rtu.lv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Lorena Martínez Zamora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Lorena.martinez@upct.es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Juskaite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Loreta.juskaite@rtu.lv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María del Camino Ramón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Llorens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Camino.ramon@upct.es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del Mar García 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Mar.alcaraz@upct.es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José Roca Hernández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Mjose.Roca@upct.es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María Victoria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Soulé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Mariavictoria.soule@cut.at.cy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Martins Bonders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Martins.bonders@rtu.lv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Noelia Sánchez Casado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Noelia.sanchez@upct.es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Normunds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Balabka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Normunds.balabka@rtu.lv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Olesja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Griorjeva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Olesja.grigorjeva@rtu.lv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Olga Vindača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Olga.vindaca@rtu.lv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Patrick Flynn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TUDublin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Patrick.flynn@tudublin</w:t>
            </w:r>
            <w:proofErr w:type="spellEnd"/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Pavels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Gavrilovs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pavels.gavrilovs@rtu.lv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Pilar Manzanares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Pilar.manzanares@upct.es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Roberto Javier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Cañavate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r.canavate@upct.es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Silvija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Mezinska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silvija.mezinska@rta.lv</w:t>
            </w:r>
          </w:p>
        </w:tc>
      </w:tr>
      <w:tr w:rsidR="002E63D5" w:rsidTr="002E63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Soledad María Martínez María Dolores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Soledad.martinez@upct.es</w:t>
            </w:r>
          </w:p>
        </w:tc>
      </w:tr>
      <w:tr w:rsidR="002E63D5" w:rsidTr="002E6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ind w:left="261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Velta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Lubkina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63D5" w:rsidRDefault="002E63D5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Velta.lubkina@rtu.lv</w:t>
            </w:r>
          </w:p>
        </w:tc>
      </w:tr>
    </w:tbl>
    <w:p w:rsidR="002E63D5" w:rsidRDefault="002E63D5" w:rsidP="002E63D5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sectPr w:rsidR="002E63D5" w:rsidSect="00C857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AE" w:rsidRDefault="00F427AE" w:rsidP="00C8575D">
      <w:pPr>
        <w:spacing w:after="0" w:line="240" w:lineRule="auto"/>
      </w:pPr>
      <w:r>
        <w:separator/>
      </w:r>
    </w:p>
  </w:endnote>
  <w:endnote w:type="continuationSeparator" w:id="0">
    <w:p w:rsidR="00F427AE" w:rsidRDefault="00F427AE" w:rsidP="00C8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+mj-ea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C5" w:rsidRDefault="007E7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667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6E1" w:rsidRDefault="00F76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6E1" w:rsidRDefault="00F766E1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C5" w:rsidRDefault="007E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AE" w:rsidRDefault="00F427AE" w:rsidP="00C8575D">
      <w:pPr>
        <w:spacing w:after="0" w:line="240" w:lineRule="auto"/>
      </w:pPr>
      <w:r>
        <w:separator/>
      </w:r>
    </w:p>
  </w:footnote>
  <w:footnote w:type="continuationSeparator" w:id="0">
    <w:p w:rsidR="00F427AE" w:rsidRDefault="00F427AE" w:rsidP="00C8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C5" w:rsidRDefault="007E7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C5" w:rsidRDefault="007E78C5" w:rsidP="007E78C5">
    <w:pPr>
      <w:pStyle w:val="NormalWeb"/>
      <w:tabs>
        <w:tab w:val="center" w:pos="4252"/>
      </w:tabs>
    </w:pPr>
    <w:r>
      <w:rPr>
        <w:rStyle w:val="Policepardfaut"/>
        <w:rFonts w:ascii="Calibri" w:eastAsia="Calibri" w:hAnsi="Calibri"/>
        <w:noProof/>
        <w:kern w:val="3"/>
        <w:sz w:val="22"/>
        <w:szCs w:val="22"/>
        <w:lang w:val="fr-FR"/>
      </w:rPr>
      <w:drawing>
        <wp:inline distT="0" distB="0" distL="0" distR="0" wp14:anchorId="3FD33172" wp14:editId="241CA5C7">
          <wp:extent cx="1900598" cy="538627"/>
          <wp:effectExtent l="0" t="0" r="4402" b="0"/>
          <wp:docPr id="9" name="Picture 3" descr="A close-up of 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98" cy="5386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7A108214" wp14:editId="665B41B5">
          <wp:extent cx="2214941" cy="575889"/>
          <wp:effectExtent l="0" t="0" r="0" b="0"/>
          <wp:docPr id="10" name="Picture 5" descr="Une image contenant Police, texte, capture d’écran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941" cy="5758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766E1" w:rsidRPr="007E78C5" w:rsidRDefault="00F766E1" w:rsidP="007E7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E1" w:rsidRDefault="007E78C5" w:rsidP="00C8575D">
    <w:pPr>
      <w:pStyle w:val="NormalWeb"/>
      <w:tabs>
        <w:tab w:val="center" w:pos="4252"/>
      </w:tabs>
    </w:pPr>
    <w:r>
      <w:rPr>
        <w:rStyle w:val="Policepardfaut"/>
        <w:rFonts w:ascii="Calibri" w:eastAsia="Calibri" w:hAnsi="Calibri"/>
        <w:noProof/>
        <w:kern w:val="3"/>
        <w:sz w:val="22"/>
        <w:szCs w:val="22"/>
        <w:lang w:val="fr-FR"/>
      </w:rPr>
      <w:drawing>
        <wp:inline distT="0" distB="0" distL="0" distR="0" wp14:anchorId="24D7B6B1" wp14:editId="0288608C">
          <wp:extent cx="1900598" cy="538627"/>
          <wp:effectExtent l="0" t="0" r="4402" b="0"/>
          <wp:docPr id="1" name="Picture 3" descr="A close-up of 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98" cy="5386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766E1">
      <w:t xml:space="preserve">               </w:t>
    </w:r>
    <w:r>
      <w:rPr>
        <w:noProof/>
      </w:rPr>
      <w:drawing>
        <wp:inline distT="0" distB="0" distL="0" distR="0" wp14:anchorId="568A96D2" wp14:editId="1DC8DAEC">
          <wp:extent cx="2214941" cy="575889"/>
          <wp:effectExtent l="0" t="0" r="0" b="0"/>
          <wp:docPr id="3" name="Picture 5" descr="Une image contenant Police, texte, capture d’écran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941" cy="5758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2B7"/>
    <w:multiLevelType w:val="hybridMultilevel"/>
    <w:tmpl w:val="0AC0D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7ED6"/>
    <w:multiLevelType w:val="multilevel"/>
    <w:tmpl w:val="46CEDB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D"/>
    <w:rsid w:val="00174EA4"/>
    <w:rsid w:val="001B7999"/>
    <w:rsid w:val="00295B24"/>
    <w:rsid w:val="002E63D5"/>
    <w:rsid w:val="004577CA"/>
    <w:rsid w:val="00672735"/>
    <w:rsid w:val="00752B05"/>
    <w:rsid w:val="007B337E"/>
    <w:rsid w:val="007E78C5"/>
    <w:rsid w:val="00C8575D"/>
    <w:rsid w:val="00DE1FCC"/>
    <w:rsid w:val="00F427AE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C9B56"/>
  <w15:chartTrackingRefBased/>
  <w15:docId w15:val="{03B2C806-4556-41DD-9F2C-79C58F7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75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word">
    <w:name w:val="word"/>
    <w:basedOn w:val="DefaultParagraphFont"/>
    <w:rsid w:val="00C8575D"/>
  </w:style>
  <w:style w:type="paragraph" w:customStyle="1" w:styleId="1">
    <w:name w:val="Обычный1"/>
    <w:basedOn w:val="Normal"/>
    <w:rsid w:val="00C8575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a">
    <w:name w:val="Обычный"/>
    <w:rsid w:val="00C8575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8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C8575D"/>
    <w:pPr>
      <w:ind w:left="720"/>
      <w:contextualSpacing/>
    </w:pPr>
  </w:style>
  <w:style w:type="paragraph" w:styleId="NormalWeb">
    <w:name w:val="Normal (Web)"/>
    <w:basedOn w:val="Normal"/>
    <w:unhideWhenUsed/>
    <w:rsid w:val="00C8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C8575D"/>
    <w:rPr>
      <w:lang w:val="en-US"/>
    </w:rPr>
  </w:style>
  <w:style w:type="paragraph" w:customStyle="1" w:styleId="IATED-Authors">
    <w:name w:val="IATED-Authors"/>
    <w:next w:val="IATED-Affiliation"/>
    <w:qFormat/>
    <w:rsid w:val="00C8575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C8575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styleId="Bibliography">
    <w:name w:val="Bibliography"/>
    <w:basedOn w:val="Normal"/>
    <w:next w:val="Normal"/>
    <w:uiPriority w:val="37"/>
    <w:unhideWhenUsed/>
    <w:rsid w:val="00C8575D"/>
  </w:style>
  <w:style w:type="paragraph" w:customStyle="1" w:styleId="mt-translation">
    <w:name w:val="mt-translation"/>
    <w:basedOn w:val="Normal"/>
    <w:rsid w:val="00C8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75D"/>
    <w:rPr>
      <w:color w:val="0563C1" w:themeColor="hyperlink"/>
      <w:u w:val="single"/>
    </w:rPr>
  </w:style>
  <w:style w:type="table" w:customStyle="1" w:styleId="a0">
    <w:name w:val="Сетка таблицы"/>
    <w:basedOn w:val="TableNormal"/>
    <w:rsid w:val="00C8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1">
    <w:name w:val="Обычный (веб)"/>
    <w:basedOn w:val="Normal"/>
    <w:semiHidden/>
    <w:rsid w:val="00C8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575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8575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857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575D"/>
    <w:pPr>
      <w:spacing w:after="100"/>
      <w:ind w:left="220"/>
    </w:pPr>
  </w:style>
  <w:style w:type="paragraph" w:customStyle="1" w:styleId="10">
    <w:name w:val="Оглавление 1"/>
    <w:basedOn w:val="Normal"/>
    <w:next w:val="a"/>
    <w:semiHidden/>
    <w:rsid w:val="00C8575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15">
    <w:name w:val="15"/>
    <w:basedOn w:val="DefaultParagraphFont"/>
    <w:rsid w:val="00C8575D"/>
    <w:rPr>
      <w:rFonts w:ascii="Calibri" w:hAnsi="Calibri" w:cs="Calibri" w:hint="default"/>
      <w:color w:val="0563C1"/>
      <w:u w:val="single"/>
    </w:rPr>
  </w:style>
  <w:style w:type="paragraph" w:customStyle="1" w:styleId="11">
    <w:name w:val="Заголовок 1"/>
    <w:basedOn w:val="Normal"/>
    <w:next w:val="a"/>
    <w:rsid w:val="00C8575D"/>
    <w:pPr>
      <w:keepNext/>
      <w:keepLines/>
      <w:widowControl w:val="0"/>
      <w:spacing w:before="100" w:beforeAutospacing="1" w:after="100" w:afterAutospacing="1" w:line="256" w:lineRule="auto"/>
      <w:outlineLvl w:val="0"/>
    </w:pPr>
    <w:rPr>
      <w:rFonts w:ascii="Times New Roman" w:eastAsia="DengXian Light" w:hAnsi="Times New Roman" w:cs="Times New Roman"/>
      <w:b/>
      <w:sz w:val="24"/>
      <w:szCs w:val="24"/>
      <w:lang w:val="en-GB" w:eastAsia="en-GB"/>
    </w:rPr>
  </w:style>
  <w:style w:type="paragraph" w:customStyle="1" w:styleId="2">
    <w:name w:val="Заголовок 2"/>
    <w:basedOn w:val="Normal"/>
    <w:next w:val="a"/>
    <w:semiHidden/>
    <w:rsid w:val="00C8575D"/>
    <w:pPr>
      <w:keepNext/>
      <w:keepLines/>
      <w:widowControl w:val="0"/>
      <w:spacing w:before="100" w:beforeAutospacing="1" w:after="100" w:afterAutospacing="1" w:line="256" w:lineRule="auto"/>
      <w:outlineLvl w:val="1"/>
    </w:pPr>
    <w:rPr>
      <w:rFonts w:ascii="Times New Roman" w:eastAsia="DengXian Light" w:hAnsi="Times New Roman" w:cs="Times New Roman"/>
      <w:b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8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5D"/>
    <w:rPr>
      <w:lang w:val="en-US"/>
    </w:rPr>
  </w:style>
  <w:style w:type="character" w:customStyle="1" w:styleId="Policepardfaut">
    <w:name w:val="Police par défaut"/>
    <w:rsid w:val="00C8575D"/>
  </w:style>
  <w:style w:type="paragraph" w:customStyle="1" w:styleId="En-tte">
    <w:name w:val="En-tête"/>
    <w:basedOn w:val="Normal"/>
    <w:rsid w:val="00C8575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830">
          <w:marLeft w:val="-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UNE01</b:Tag>
    <b:SourceType>Report</b:SourceType>
    <b:Guid>{939E000F-C6A0-41F7-BD3A-D230E65AA0CE}</b:Guid>
    <b:Author>
      <b:Author>
        <b:Corporate>UNESCO/OECD/Eurostat</b:Corporate>
      </b:Author>
    </b:Author>
    <b:Title>Glossary of Statistical Terms</b:Title>
    <b:Year>2001</b:Year>
    <b:URL>stats.oecd.org/glossary/details.asp?ID=10</b:URL>
    <b:RefOrder>5</b:RefOrder>
  </b:Source>
  <b:Source>
    <b:Tag>Eur17</b:Tag>
    <b:SourceType>Report</b:SourceType>
    <b:Guid>{6EDAC5B4-7BC5-4EF0-9F54-1674170CD36C}</b:Guid>
    <b:Title>Modenization of Higher Education in Europe: Academic Staff -2017. Eurydice Report. </b:Title>
    <b:Year>2017</b:Year>
    <b:Publisher>Publications Office of the European Union </b:Publisher>
    <b:City>Luxembourg:</b:City>
    <b:Author>
      <b:Author>
        <b:Corporate>European Commission/EACEA/Eurydice</b:Corporate>
      </b:Author>
    </b:Author>
    <b:URL>https://op.europa.eu/en/publication-detail/-/publication/40f84414-683f-11e7-b2f2-01aa75ed71a1/language-en </b:URL>
    <b:RefOrder>4</b:RefOrder>
  </b:Source>
  <b:Source>
    <b:Tag>Izg981</b:Tag>
    <b:SourceType>Report</b:SourceType>
    <b:Guid>{C8625E16-DC32-43F9-9734-074820217944}</b:Guid>
    <b:Author>
      <b:Author>
        <b:Corporate>Izglītības likums</b:Corporate>
      </b:Author>
    </b:Author>
    <b:Year>1998</b:Year>
    <b:URL>https://likumi.lv/ta/id/50759-izglitibas-likums</b:URL>
    <b:RefOrder>6</b:RefOrder>
  </b:Source>
  <b:Source>
    <b:Tag>Aug952</b:Tag>
    <b:SourceType>Report</b:SourceType>
    <b:Guid>{784D109D-8748-442B-9F50-4C5F7633E519}</b:Guid>
    <b:Author>
      <b:Author>
        <b:Corporate>Augstskolu likums</b:Corporate>
      </b:Author>
    </b:Author>
    <b:Year>1995</b:Year>
    <b:URL>https://likumi.lv/ta/id/37967-augstskolu-likums</b:URL>
    <b:RefOrder>7</b:RefOrder>
  </b:Source>
  <b:Source>
    <b:Tag>The17</b:Tag>
    <b:SourceType>Report</b:SourceType>
    <b:Guid>{BF7DAB23-3D32-47A4-89CC-F8E86B4EF6B5}</b:Guid>
    <b:Author>
      <b:Author>
        <b:Corporate>The International Bank for Reconstruction and Development/ The World Bank</b:Corporate>
      </b:Author>
    </b:Author>
    <b:Title>Higher Education for Development An Evaluation of the World Bank Group's Support</b:Title>
    <b:Year>2017</b:Year>
    <b:City>NW</b:City>
    <b:URL>https://openknowledge.worldbank.org/bitstream/handle/10986/26486/113867-WP-PUBLIC.pdf?sequence=5&amp;isAllowed=y</b:URL>
    <b:RefOrder>8</b:RefOrder>
  </b:Source>
  <b:Source>
    <b:Tag>Žog18</b:Tag>
    <b:SourceType>JournalArticle</b:SourceType>
    <b:Guid>{36EE1DC0-E7E8-452D-B181-2C3580B48505}</b:Guid>
    <b:Title>Science of Pedagogy: Theory of Educational Discipline and Practice</b:Title>
    <b:Year>2018</b:Year>
    <b:Author>
      <b:Author>
        <b:NameList>
          <b:Person>
            <b:Last>Žogla</b:Last>
          </b:Person>
        </b:NameList>
      </b:Author>
    </b:Author>
    <b:JournalName>Journal of Teacher Education for Sustainability</b:JournalName>
    <b:Pages>31-43</b:Pages>
    <b:Volume>Vol.20</b:Volume>
    <b:Issue>No.2</b:Issue>
    <b:DOI>DOI: 10.2478/jtes-2018-0013</b:DOI>
    <b:RefOrder>15</b:RefOrder>
  </b:Source>
  <b:Source>
    <b:Tag>Dan19</b:Tag>
    <b:SourceType>JournalArticle</b:SourceType>
    <b:Guid>{4B00A13F-A7C2-427F-B0B8-AE9869BF2DAE}</b:Guid>
    <b:Author>
      <b:Author>
        <b:NameList>
          <b:Person>
            <b:Last>Daniela</b:Last>
          </b:Person>
        </b:NameList>
      </b:Author>
    </b:Author>
    <b:Title>Smart Pedagogy for Technology-Enhanced Learning</b:Title>
    <b:JournalName>Didactics of Smart Pedagogy</b:JournalName>
    <b:Year>2019</b:Year>
    <b:Publisher>Springer Nature Switzerland AG</b:Publisher>
    <b:URL>https://kometa.edu.pl/uploads/publication/666/ca8b_A_W_02_Daniela.pdf?v2.8</b:URL>
    <b:RefOrder>16</b:RefOrder>
  </b:Source>
  <b:Source>
    <b:Tag>Mas05</b:Tag>
    <b:SourceType>JournalArticle</b:SourceType>
    <b:Guid>{798061B3-7B8B-4D34-8AD4-12CAAE3BD4CC}</b:Guid>
    <b:Title>Kompetence kā audzināšanas ideāls un analītiskā kategorija</b:Title>
    <b:Year>2005</b:Year>
    <b:Author>
      <b:Author>
        <b:Corporate>Maslo, Tiļļa</b:Corporate>
      </b:Author>
    </b:Author>
    <b:JournalName>Skolotājs</b:JournalName>
    <b:Pages>4-9</b:Pages>
    <b:Month>Marts</b:Month>
    <b:RefOrder>17</b:RefOrder>
  </b:Source>
  <b:Source>
    <b:Tag>EdR10</b:Tag>
    <b:SourceType>Report</b:SourceType>
    <b:Guid>{2AC16861-E8AB-4388-A318-37D44E3C1DF0}</b:Guid>
    <b:Title>A Swedish Perspective on Pedagogical Competence </b:Title>
    <b:Year>2010</b:Year>
    <b:Publisher>Uppsala University</b:Publisher>
    <b:Author>
      <b:Author>
        <b:Corporate>Ed. Ryegard, Apelgren, Olsson</b:Corporate>
      </b:Author>
    </b:Author>
    <b:URL>https://mp.uu.se/documents/432512/1163536/NSHU+Eng_inlaga%5B1%5D.pdf/353a7746-fd1a-678a-f0f9-8cffe89036ad</b:URL>
    <b:RefOrder>18</b:RefOrder>
  </b:Source>
  <b:Source>
    <b:Tag>Rye101</b:Tag>
    <b:SourceType>Report</b:SourceType>
    <b:Guid>{D4FCCD47-B5E5-43A4-B7B4-1F13AFA126D9}</b:Guid>
    <b:Title>A Swedish perspective on Pedagogical Competence</b:Title>
    <b:Year>2010</b:Year>
    <b:Author>
      <b:Author>
        <b:Corporate>Ryegard, Apelgren, Olsson</b:Corporate>
      </b:Author>
    </b:Author>
    <b:URL>http://www.chalmers.se/en/about-chalmers/policies-and-rules/Documents/Extract%20from%20appointment%20regulations.pdf</b:URL>
    <b:RefOrder>24</b:RefOrder>
  </b:Source>
  <b:Source>
    <b:Tag>Fak201</b:Tag>
    <b:SourceType>JournalArticle</b:SourceType>
    <b:Guid>{122950EC-C0A8-4F20-AA06-DCA4C10B6EF0}</b:Guid>
    <b:Title>Pedagogical Competence of the High School Teacher</b:Title>
    <b:JournalName>International Journal of Higher Education</b:JournalName>
    <b:Year>2020</b:Year>
    <b:Author>
      <b:Author>
        <b:Corporate>Fakhrutdinova et al.</b:Corporate>
      </b:Author>
    </b:Author>
    <b:Volume>Vol.9</b:Volume>
    <b:Issue>No.8</b:Issue>
    <b:DOI>doi:10.5430/ijhe.v9n8p84</b:DOI>
    <b:RefOrder>25</b:RefOrder>
  </b:Source>
  <b:Source>
    <b:Tag>Ruu20</b:Tag>
    <b:SourceType>ConferenceProceedings</b:SourceType>
    <b:Guid>{031D2BA7-0517-4192-89B8-93BAEAFADCE6}</b:Guid>
    <b:Title>Effective Tools and Models for Engineering Faculty Mastery Teaching Supporting Meaningful Learning</b:Title>
    <b:Year>2020</b:Year>
    <b:ConferenceName>EDUCON2020</b:ConferenceName>
    <b:City>Tunis</b:City>
    <b:Author>
      <b:Author>
        <b:NameList>
          <b:Person>
            <b:Last>Ruutmann</b:Last>
          </b:Person>
        </b:NameList>
      </b:Author>
    </b:Author>
    <b:RefOrder>26</b:RefOrder>
  </b:Source>
</b:Sources>
</file>

<file path=customXml/itemProps1.xml><?xml version="1.0" encoding="utf-8"?>
<ds:datastoreItem xmlns:ds="http://schemas.openxmlformats.org/officeDocument/2006/customXml" ds:itemID="{2C6902A1-A9F6-45A5-B98F-1D75130F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Vindača</dc:creator>
  <cp:keywords/>
  <dc:description/>
  <cp:lastModifiedBy>Olga Vindača</cp:lastModifiedBy>
  <cp:revision>3</cp:revision>
  <dcterms:created xsi:type="dcterms:W3CDTF">2024-04-15T07:17:00Z</dcterms:created>
  <dcterms:modified xsi:type="dcterms:W3CDTF">2024-04-15T09:52:00Z</dcterms:modified>
</cp:coreProperties>
</file>